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83" w:rsidRPr="00766A83" w:rsidRDefault="006B364D" w:rsidP="006B364D">
      <w:pPr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C2E514D" wp14:editId="27F1DF20">
            <wp:extent cx="342900" cy="42694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  <w:t xml:space="preserve">                             </w:t>
      </w:r>
      <w:r w:rsidR="00EF181C"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  <w:tab/>
      </w:r>
      <w:r w:rsidR="00EF181C"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  <w:tab/>
      </w:r>
      <w:r w:rsidR="00EF181C"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  <w:tab/>
      </w:r>
      <w:r>
        <w:rPr>
          <w:rFonts w:ascii="Garamond" w:eastAsiaTheme="minorHAnsi" w:hAnsi="Garamond" w:cs="Garamond"/>
          <w:b/>
          <w:color w:val="0070C0"/>
          <w:sz w:val="24"/>
          <w:szCs w:val="24"/>
          <w:lang w:eastAsia="en-US"/>
        </w:rPr>
        <w:t xml:space="preserve">                                 </w:t>
      </w:r>
      <w:r>
        <w:rPr>
          <w:b/>
          <w:bCs/>
          <w:noProof/>
          <w:sz w:val="32"/>
        </w:rPr>
        <w:drawing>
          <wp:inline distT="0" distB="0" distL="0" distR="0" wp14:anchorId="5A68A664" wp14:editId="7BC427FC">
            <wp:extent cx="285125" cy="410210"/>
            <wp:effectExtent l="0" t="0" r="635" b="8890"/>
            <wp:docPr id="2" name="Kép 2" descr="SZSZB POLICE 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SZB POLICE ké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3" cy="4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1C" w:rsidRPr="00EF181C" w:rsidRDefault="00EF181C" w:rsidP="00EF181C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EF181C">
        <w:rPr>
          <w:b/>
          <w:sz w:val="24"/>
          <w:szCs w:val="24"/>
        </w:rPr>
        <w:t>Ajánlások a kiskereskedelmi egységek számára</w:t>
      </w:r>
      <w:r>
        <w:rPr>
          <w:b/>
          <w:sz w:val="24"/>
          <w:szCs w:val="24"/>
        </w:rPr>
        <w:t xml:space="preserve">    </w:t>
      </w:r>
    </w:p>
    <w:p w:rsidR="00EF181C" w:rsidRPr="00EF181C" w:rsidRDefault="00EF181C" w:rsidP="00EF181C">
      <w:pPr>
        <w:overflowPunct/>
        <w:autoSpaceDE/>
        <w:autoSpaceDN/>
        <w:adjustRightInd/>
        <w:jc w:val="center"/>
        <w:rPr>
          <w:b/>
          <w:i/>
        </w:rPr>
      </w:pP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>Az erőszakos bűncselekmények (rablások) miatt különösen veszélyeztetettek az 1-2 fős kiskereskedelmi egységek, pl. dohányboltok, gyógyszertárak, lottózók, stb.</w:t>
      </w: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b/>
          <w:i/>
        </w:rPr>
      </w:pP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EF181C">
        <w:rPr>
          <w:b/>
          <w:sz w:val="24"/>
          <w:szCs w:val="24"/>
        </w:rPr>
        <w:t>A rablások számának csökkentése az alábbi módszerek alkalmazásával befolyásolható:</w:t>
      </w: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i/>
        </w:rPr>
      </w:pP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b/>
          <w:i/>
          <w:sz w:val="24"/>
          <w:szCs w:val="24"/>
          <w:u w:val="single"/>
        </w:rPr>
      </w:pPr>
      <w:r w:rsidRPr="00EF181C">
        <w:rPr>
          <w:b/>
          <w:i/>
          <w:sz w:val="24"/>
          <w:szCs w:val="24"/>
          <w:u w:val="single"/>
        </w:rPr>
        <w:t>Minősített biztonságtechnikai eszközök alkalmazása</w:t>
      </w:r>
    </w:p>
    <w:p w:rsidR="00EF181C" w:rsidRPr="00EF181C" w:rsidRDefault="00EF181C" w:rsidP="00415D16">
      <w:pPr>
        <w:numPr>
          <w:ilvl w:val="0"/>
          <w:numId w:val="2"/>
        </w:numPr>
        <w:overflowPunct/>
        <w:autoSpaceDE/>
        <w:autoSpaceDN/>
        <w:adjustRightInd/>
        <w:jc w:val="both"/>
      </w:pPr>
      <w:r w:rsidRPr="00EF181C">
        <w:rPr>
          <w:sz w:val="24"/>
          <w:szCs w:val="24"/>
        </w:rPr>
        <w:t xml:space="preserve">Ajánlatosnak tartjuk a távfelügyeleti rendszerbe kapcsolt </w:t>
      </w:r>
      <w:r w:rsidRPr="00EF181C">
        <w:rPr>
          <w:bCs/>
          <w:sz w:val="24"/>
          <w:szCs w:val="24"/>
        </w:rPr>
        <w:t>vagyonvédelmi riasztórendszer</w:t>
      </w:r>
      <w:r w:rsidRPr="00EF181C">
        <w:rPr>
          <w:sz w:val="24"/>
          <w:szCs w:val="24"/>
        </w:rPr>
        <w:t xml:space="preserve"> kiépítését, amely tartalmazza az ún. </w:t>
      </w:r>
      <w:proofErr w:type="gramStart"/>
      <w:r w:rsidRPr="00EF181C">
        <w:rPr>
          <w:sz w:val="24"/>
          <w:szCs w:val="24"/>
        </w:rPr>
        <w:t>fixen</w:t>
      </w:r>
      <w:proofErr w:type="gramEnd"/>
      <w:r w:rsidRPr="00EF181C">
        <w:rPr>
          <w:sz w:val="24"/>
          <w:szCs w:val="24"/>
        </w:rPr>
        <w:t xml:space="preserve"> telepített és/vagy mobil támadásjelző egységet is. Ennek jelzését egy kivonuló szolgálattal rendelkező vagyonvédelmi cég diszpécserközpontja fogadja, ahol megteszik a szükséges intézkedéseket a rendőrség kiérkezéséig. </w:t>
      </w:r>
    </w:p>
    <w:p w:rsidR="00EF181C" w:rsidRPr="00EF181C" w:rsidRDefault="00EF181C" w:rsidP="00F362D5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</w:pPr>
      <w:r w:rsidRPr="00EF181C">
        <w:rPr>
          <w:sz w:val="24"/>
          <w:szCs w:val="24"/>
        </w:rPr>
        <w:t xml:space="preserve">Az előző eszköznél – jellegéből adódóan – kevésbé hatékony </w:t>
      </w:r>
      <w:r w:rsidRPr="00EF181C">
        <w:rPr>
          <w:bCs/>
          <w:sz w:val="24"/>
          <w:szCs w:val="24"/>
        </w:rPr>
        <w:t>helyi riasztórendszer</w:t>
      </w:r>
      <w:r w:rsidRPr="00EF181C">
        <w:rPr>
          <w:sz w:val="24"/>
          <w:szCs w:val="24"/>
        </w:rPr>
        <w:t xml:space="preserve"> kiépítésekor figyelemmel kell lenni arra, hogy rablás esetén a támadásjelző megnyomásával megszólaltatott hang/fényjelző az elkövetőből kiszámíthatatlan, reakciókat válthat ki, agresszivitása is fokozódhat, ezért a néma riasztás célszerűbb. </w:t>
      </w:r>
    </w:p>
    <w:p w:rsidR="00EF181C" w:rsidRPr="00EF181C" w:rsidRDefault="00EF181C" w:rsidP="000A05EB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</w:pPr>
      <w:r w:rsidRPr="00EF181C">
        <w:rPr>
          <w:sz w:val="24"/>
          <w:szCs w:val="24"/>
        </w:rPr>
        <w:t xml:space="preserve">Támogatjuk a </w:t>
      </w:r>
      <w:r w:rsidRPr="00EF181C">
        <w:rPr>
          <w:bCs/>
          <w:sz w:val="24"/>
          <w:szCs w:val="24"/>
        </w:rPr>
        <w:t>„kiskereskedelmi egységek” közvetlenül a mellettük/közelükben lévő a másik kiskereskedelmi egységbe történő átjelzését</w:t>
      </w:r>
      <w:r w:rsidRPr="00EF181C">
        <w:rPr>
          <w:sz w:val="24"/>
          <w:szCs w:val="24"/>
        </w:rPr>
        <w:t xml:space="preserve"> rablás/támadás esetén. </w:t>
      </w:r>
    </w:p>
    <w:p w:rsidR="00EF181C" w:rsidRPr="00EF181C" w:rsidRDefault="00EF181C" w:rsidP="00F161CB">
      <w:pPr>
        <w:numPr>
          <w:ilvl w:val="0"/>
          <w:numId w:val="2"/>
        </w:numPr>
        <w:overflowPunct/>
        <w:autoSpaceDE/>
        <w:autoSpaceDN/>
        <w:adjustRightInd/>
        <w:jc w:val="both"/>
      </w:pPr>
      <w:r w:rsidRPr="00EF181C">
        <w:rPr>
          <w:sz w:val="24"/>
          <w:szCs w:val="24"/>
        </w:rPr>
        <w:t>A támadásjelző alkalmazásán túl az üzlethelyiségben történt események rögzítésére ajánlott k</w:t>
      </w:r>
      <w:r w:rsidRPr="00EF181C">
        <w:rPr>
          <w:bCs/>
          <w:sz w:val="24"/>
          <w:szCs w:val="24"/>
        </w:rPr>
        <w:t>amera-rendszer</w:t>
      </w:r>
      <w:r w:rsidRPr="00EF181C">
        <w:rPr>
          <w:sz w:val="24"/>
          <w:szCs w:val="24"/>
        </w:rPr>
        <w:t xml:space="preserve"> telepítése, amely </w:t>
      </w:r>
      <w:r w:rsidRPr="00EF181C">
        <w:rPr>
          <w:sz w:val="24"/>
        </w:rPr>
        <w:t xml:space="preserve">a közterületen elhelyezett térfigyelő rendszerekkel együtt fokozottan segíti az elkövető beazonosítását. </w:t>
      </w:r>
    </w:p>
    <w:p w:rsidR="00EF181C" w:rsidRPr="00EF181C" w:rsidRDefault="00EF181C" w:rsidP="00EF181C">
      <w:pPr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>A rablások leggyakoribb elkövetési tárgya a készpénz, ezért széfek (</w:t>
      </w:r>
      <w:proofErr w:type="spellStart"/>
      <w:r w:rsidRPr="00EF181C">
        <w:rPr>
          <w:sz w:val="24"/>
          <w:szCs w:val="24"/>
        </w:rPr>
        <w:t>időzáras</w:t>
      </w:r>
      <w:proofErr w:type="spellEnd"/>
      <w:r w:rsidRPr="00EF181C">
        <w:rPr>
          <w:sz w:val="24"/>
          <w:szCs w:val="24"/>
        </w:rPr>
        <w:t xml:space="preserve">, vagy </w:t>
      </w:r>
      <w:r w:rsidRPr="00EF181C">
        <w:rPr>
          <w:bCs/>
          <w:sz w:val="24"/>
          <w:szCs w:val="24"/>
        </w:rPr>
        <w:t xml:space="preserve">pénzbedobós </w:t>
      </w:r>
      <w:proofErr w:type="gramStart"/>
      <w:r w:rsidRPr="00EF181C">
        <w:rPr>
          <w:bCs/>
          <w:sz w:val="24"/>
          <w:szCs w:val="24"/>
        </w:rPr>
        <w:t>trezor</w:t>
      </w:r>
      <w:proofErr w:type="gramEnd"/>
      <w:r w:rsidRPr="00EF181C">
        <w:rPr>
          <w:bCs/>
          <w:sz w:val="24"/>
          <w:szCs w:val="24"/>
        </w:rPr>
        <w:t xml:space="preserve">) </w:t>
      </w:r>
      <w:r w:rsidRPr="00EF181C">
        <w:rPr>
          <w:sz w:val="24"/>
          <w:szCs w:val="24"/>
        </w:rPr>
        <w:t xml:space="preserve">használatát javasoljuk. </w:t>
      </w:r>
    </w:p>
    <w:p w:rsidR="00EF181C" w:rsidRPr="00EF181C" w:rsidRDefault="00EF181C" w:rsidP="00EF181C">
      <w:pPr>
        <w:overflowPunct/>
        <w:autoSpaceDE/>
        <w:autoSpaceDN/>
        <w:adjustRightInd/>
        <w:ind w:left="720"/>
        <w:contextualSpacing/>
      </w:pP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b/>
          <w:i/>
          <w:sz w:val="24"/>
          <w:szCs w:val="24"/>
        </w:rPr>
      </w:pPr>
      <w:r w:rsidRPr="00EF181C">
        <w:rPr>
          <w:b/>
          <w:i/>
          <w:sz w:val="24"/>
          <w:szCs w:val="24"/>
          <w:u w:val="single"/>
        </w:rPr>
        <w:t>A bolti alkalmazottak számára meghatározott magatartási formák, szabályok tudatosítása</w:t>
      </w:r>
      <w:r w:rsidRPr="00EF181C">
        <w:rPr>
          <w:b/>
          <w:i/>
          <w:sz w:val="24"/>
          <w:szCs w:val="24"/>
        </w:rPr>
        <w:t xml:space="preserve">  </w:t>
      </w:r>
    </w:p>
    <w:p w:rsidR="00EF181C" w:rsidRPr="00EF181C" w:rsidRDefault="00EF181C" w:rsidP="00EF181C">
      <w:pPr>
        <w:overflowPunct/>
        <w:autoSpaceDE/>
        <w:autoSpaceDN/>
        <w:adjustRightInd/>
        <w:jc w:val="both"/>
      </w:pP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Figyeljék meg azokat a személyeket, akik zavartan viselkednek, észlelhetően, vagy feltételezhetően </w:t>
      </w:r>
      <w:proofErr w:type="gramStart"/>
      <w:r w:rsidRPr="00EF181C">
        <w:rPr>
          <w:sz w:val="24"/>
          <w:szCs w:val="24"/>
        </w:rPr>
        <w:t>konkrét</w:t>
      </w:r>
      <w:proofErr w:type="gramEnd"/>
      <w:r w:rsidRPr="00EF181C">
        <w:rPr>
          <w:sz w:val="24"/>
          <w:szCs w:val="24"/>
        </w:rPr>
        <w:t xml:space="preserve"> cél nélkül érkeznek az üzletbe, illetve viselkedésük eltér az adott környezetben megszokottól, esetleg az öltözetük nem szokványos. </w:t>
      </w:r>
    </w:p>
    <w:p w:rsidR="00EF181C" w:rsidRPr="00EF181C" w:rsidRDefault="00EF181C" w:rsidP="00EF181C">
      <w:pPr>
        <w:overflowPunct/>
        <w:autoSpaceDE/>
        <w:autoSpaceDN/>
        <w:adjustRightInd/>
        <w:ind w:left="720"/>
        <w:jc w:val="both"/>
      </w:pPr>
    </w:p>
    <w:p w:rsidR="00EF181C" w:rsidRPr="00EF181C" w:rsidRDefault="00EF181C" w:rsidP="00EF181C">
      <w:pPr>
        <w:overflowPunct/>
        <w:autoSpaceDE/>
        <w:autoSpaceDN/>
        <w:adjustRightInd/>
        <w:ind w:left="720"/>
        <w:jc w:val="both"/>
      </w:pPr>
    </w:p>
    <w:p w:rsidR="00EF181C" w:rsidRDefault="00EF181C" w:rsidP="00EF181C">
      <w:pPr>
        <w:pStyle w:val="Listaszerbekezds"/>
        <w:rPr>
          <w:sz w:val="24"/>
          <w:szCs w:val="24"/>
        </w:rPr>
      </w:pPr>
    </w:p>
    <w:p w:rsidR="00EF181C" w:rsidRPr="00EF181C" w:rsidRDefault="00EF181C" w:rsidP="00F55FBA">
      <w:pPr>
        <w:numPr>
          <w:ilvl w:val="0"/>
          <w:numId w:val="3"/>
        </w:numPr>
        <w:overflowPunct/>
        <w:autoSpaceDE/>
        <w:autoSpaceDN/>
        <w:adjustRightInd/>
        <w:jc w:val="both"/>
      </w:pPr>
      <w:r w:rsidRPr="00EF181C">
        <w:rPr>
          <w:sz w:val="24"/>
          <w:szCs w:val="24"/>
        </w:rPr>
        <w:t>Gyengülő vásárló-forgalom (nyitás - zárás, ebédidő) esetén se hagyják magukra munkatársaikat, fokozzák éberségüket.</w:t>
      </w:r>
    </w:p>
    <w:p w:rsidR="00EF181C" w:rsidRPr="00EF181C" w:rsidRDefault="00EF181C" w:rsidP="006D7E93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</w:pPr>
      <w:r w:rsidRPr="00EF181C">
        <w:rPr>
          <w:sz w:val="24"/>
          <w:szCs w:val="24"/>
        </w:rPr>
        <w:t>A pénzkezelést végezzék az vásárlók elől elzárt helyen.</w:t>
      </w:r>
    </w:p>
    <w:p w:rsidR="00EF181C" w:rsidRPr="00EF181C" w:rsidRDefault="00EF181C" w:rsidP="00A7334F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Az </w:t>
      </w:r>
      <w:proofErr w:type="gramStart"/>
      <w:r w:rsidRPr="00EF181C">
        <w:rPr>
          <w:sz w:val="24"/>
          <w:szCs w:val="24"/>
        </w:rPr>
        <w:t>aktív</w:t>
      </w:r>
      <w:proofErr w:type="gramEnd"/>
      <w:r w:rsidRPr="00EF181C">
        <w:rPr>
          <w:sz w:val="24"/>
          <w:szCs w:val="24"/>
        </w:rPr>
        <w:t xml:space="preserve"> eladói fellépés hiánya felbátoríthatja az elkövetőket, pedig a vevők köszöntése és a segítség felkínálása vásárlásösztönzési szempontból is kívánatos. Amennyiben a vevő nem kéri az eladó segítségét, akkor még mindig marad az udvarias, de egyben „fenyegető” fordulat: „Nyugodtan </w:t>
      </w:r>
      <w:proofErr w:type="spellStart"/>
      <w:r w:rsidRPr="00EF181C">
        <w:rPr>
          <w:sz w:val="24"/>
          <w:szCs w:val="24"/>
        </w:rPr>
        <w:t>nézelődjön</w:t>
      </w:r>
      <w:proofErr w:type="spellEnd"/>
      <w:r w:rsidRPr="00EF181C">
        <w:rPr>
          <w:sz w:val="24"/>
          <w:szCs w:val="24"/>
        </w:rPr>
        <w:t>, itt maradok a közelében, ha segítségre lenne szüksége, csak szóljon!”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Az áttekinthető, jól megvilágított áruelrendezés, a betekintő kirakatok eleve megnehezítik az elkövetők dolgát. Az üzlettér takarásban lévő részeinek figyelemmel kisérését segítik a megfelelő szögben felszerelt és biztonsági céllal alkalmazott ún. vagyonvédelmi tükrök is, feltéve, ha a személyzet kellően ki van képezve és használják is azt. </w:t>
      </w:r>
    </w:p>
    <w:p w:rsidR="00EF181C" w:rsidRPr="00EF181C" w:rsidRDefault="00EF181C" w:rsidP="00EF181C">
      <w:pPr>
        <w:overflowPunct/>
        <w:autoSpaceDE/>
        <w:autoSpaceDN/>
        <w:adjustRightInd/>
        <w:jc w:val="both"/>
        <w:rPr>
          <w:b/>
          <w:i/>
        </w:rPr>
      </w:pPr>
      <w:r w:rsidRPr="00EF181C">
        <w:rPr>
          <w:b/>
          <w:bCs/>
          <w:i/>
          <w:sz w:val="24"/>
          <w:szCs w:val="24"/>
          <w:u w:val="single"/>
        </w:rPr>
        <w:t>Mi a teendő rablás esetén</w:t>
      </w:r>
    </w:p>
    <w:p w:rsidR="00EF181C" w:rsidRPr="00EF181C" w:rsidRDefault="00EF181C" w:rsidP="003A6493">
      <w:pPr>
        <w:numPr>
          <w:ilvl w:val="0"/>
          <w:numId w:val="3"/>
        </w:numPr>
        <w:overflowPunct/>
        <w:autoSpaceDE/>
        <w:autoSpaceDN/>
        <w:adjustRightInd/>
        <w:jc w:val="both"/>
      </w:pPr>
      <w:r w:rsidRPr="00EF181C">
        <w:rPr>
          <w:sz w:val="24"/>
          <w:szCs w:val="24"/>
        </w:rPr>
        <w:t>A támadó utasításainak tegyenek eleget. Viselkedésükkel tűnjenek közreműködőnek</w:t>
      </w:r>
      <w:bookmarkStart w:id="0" w:name="_GoBack"/>
      <w:bookmarkEnd w:id="0"/>
      <w:r w:rsidRPr="00EF181C">
        <w:rPr>
          <w:sz w:val="24"/>
          <w:szCs w:val="24"/>
        </w:rPr>
        <w:t xml:space="preserve">, ugyanis az elsődleges cél az élet és testi épség megóvása. 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>Lehetőség szerint tanúsítsanak nyugalmat. Kerüljék el a támadó szemszögéből félreérhető, vagy indokolatlanul gyors mozdulatokat.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>Csak a lehető legkevesebb pénzt adják át az elkövetőnek.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Lehetőség szerint használják a támadásjelzőt. 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>Figyeljék meg alaposan a támadót, ugyanis személyleírásának megadásával a rendőrség munkáját segítik.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Amennyiben mód kínálkozik, kísérjék figyelemmel az elkövető menekülési útvonalát, a használt járművet. 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  <w:szCs w:val="24"/>
        </w:rPr>
        <w:t xml:space="preserve">A rablás után haladéktalanul értesítsék a rendőrséget az ingyenesen hívható 112-es segélyhívó-számon. </w:t>
      </w:r>
    </w:p>
    <w:p w:rsidR="00EF181C" w:rsidRPr="00EF181C" w:rsidRDefault="00EF181C" w:rsidP="00EF181C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F181C">
        <w:rPr>
          <w:sz w:val="24"/>
        </w:rPr>
        <w:t xml:space="preserve">A bejelentést követően a helyszínen várja meg a kiérkező rendőrjárőrt, de a helyszínt semmiképpen se változtassa meg. </w:t>
      </w:r>
    </w:p>
    <w:p w:rsidR="00744B45" w:rsidRDefault="00744B45" w:rsidP="009D172B">
      <w:pPr>
        <w:overflowPunct/>
        <w:jc w:val="center"/>
        <w:rPr>
          <w:rFonts w:ascii="Garamond" w:eastAsiaTheme="minorHAnsi" w:hAnsi="Garamond" w:cs="Garamond"/>
          <w:color w:val="181715"/>
          <w:sz w:val="24"/>
          <w:szCs w:val="24"/>
          <w:lang w:eastAsia="en-US"/>
        </w:rPr>
      </w:pPr>
    </w:p>
    <w:p w:rsidR="006200CF" w:rsidRDefault="006200CF" w:rsidP="009D172B">
      <w:pPr>
        <w:overflowPunct/>
        <w:jc w:val="center"/>
        <w:rPr>
          <w:rFonts w:ascii="Garamond" w:eastAsiaTheme="minorHAnsi" w:hAnsi="Garamond" w:cs="Garamond"/>
          <w:color w:val="181715"/>
          <w:sz w:val="24"/>
          <w:szCs w:val="24"/>
          <w:lang w:eastAsia="en-US"/>
        </w:rPr>
      </w:pPr>
    </w:p>
    <w:p w:rsidR="006200CF" w:rsidRDefault="006200CF" w:rsidP="006200CF">
      <w:pPr>
        <w:overflowPunct/>
        <w:autoSpaceDE/>
        <w:autoSpaceDN/>
        <w:adjustRightInd/>
        <w:ind w:left="360"/>
        <w:jc w:val="center"/>
        <w:rPr>
          <w:rFonts w:ascii="Garamond" w:eastAsiaTheme="minorHAnsi" w:hAnsi="Garamond" w:cs="Garamond"/>
          <w:color w:val="181715"/>
          <w:sz w:val="24"/>
          <w:szCs w:val="24"/>
          <w:lang w:eastAsia="en-US"/>
        </w:rPr>
      </w:pPr>
      <w:r w:rsidRPr="006200CF">
        <w:rPr>
          <w:rFonts w:ascii="Garamond" w:hAnsi="Garamond"/>
          <w:b/>
          <w:color w:val="0070C0"/>
          <w:sz w:val="22"/>
          <w:szCs w:val="22"/>
        </w:rPr>
        <w:t>Békés Biztonságos Karácsonyi Ünnepeket kíván a Szabolcs-Szatmár-Bereg Megyei Rendőr-főkapitányság Bűnmegelőzési Osztálya!</w:t>
      </w:r>
    </w:p>
    <w:sectPr w:rsidR="006200CF" w:rsidSect="006200CF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F64"/>
    <w:multiLevelType w:val="hybridMultilevel"/>
    <w:tmpl w:val="AE5C8A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4DC0"/>
    <w:multiLevelType w:val="hybridMultilevel"/>
    <w:tmpl w:val="DA80E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F2A"/>
    <w:multiLevelType w:val="hybridMultilevel"/>
    <w:tmpl w:val="0A50FACA"/>
    <w:lvl w:ilvl="0" w:tplc="79ECEBA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9B"/>
    <w:rsid w:val="00002C9B"/>
    <w:rsid w:val="002F28F7"/>
    <w:rsid w:val="006200CF"/>
    <w:rsid w:val="006B364D"/>
    <w:rsid w:val="00744B45"/>
    <w:rsid w:val="00766A83"/>
    <w:rsid w:val="007C591A"/>
    <w:rsid w:val="009D172B"/>
    <w:rsid w:val="00CE3D05"/>
    <w:rsid w:val="00E103E5"/>
    <w:rsid w:val="00EF181C"/>
    <w:rsid w:val="00FD1616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B869"/>
  <w15:chartTrackingRefBased/>
  <w15:docId w15:val="{4D9B2EF2-0ECA-4A97-985F-5B8DE7C0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6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172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72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János</dc:creator>
  <cp:keywords/>
  <dc:description/>
  <cp:lastModifiedBy>Kormosné Balogh Bernadett</cp:lastModifiedBy>
  <cp:revision>2</cp:revision>
  <cp:lastPrinted>2022-11-17T10:11:00Z</cp:lastPrinted>
  <dcterms:created xsi:type="dcterms:W3CDTF">2023-12-11T09:54:00Z</dcterms:created>
  <dcterms:modified xsi:type="dcterms:W3CDTF">2023-12-11T09:54:00Z</dcterms:modified>
</cp:coreProperties>
</file>